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97</w:t>
      </w:r>
    </w:p>
    <w:p>
      <w:r>
        <w:t>Bundesgericht (BGE), 1996-04-22, FR</w:t>
      </w:r>
    </w:p>
    <w:p>
      <w:r>
        <w:rPr>
          <w:b/>
        </w:rPr>
        <w:t xml:space="preserve">Quelle: </w:t>
      </w:r>
      <w:r>
        <w:t>https://mcp.opencaselaw.ch/entscheid/bge_122 IV 97</w:t>
      </w:r>
    </w:p>
    <w:p>
      <w:r>
        <w:t>FR: ATF 122 IV 97</w:t>
      </w:r>
    </w:p>
    <w:p>
      <w:r>
        <w:t>IT: DTF 122 IV 97</w:t>
      </w:r>
    </w:p>
    <w:p>
      <w:pPr>
        <w:pStyle w:val="Heading2"/>
      </w:pPr>
      <w:r>
        <w:t>Regeste</w:t>
      </w:r>
    </w:p>
    <w:p>
      <w:r>
        <w:t>Regeste Art. 189, 190 StGB, sexuelle Nötigung und Vergewaltigung, begangen mit psychischem Druck. Fall eines kindlichen, leicht debilen Opfers (Alter 10-15 Jahre), von einem in Lebensgemeinschaft mit der Mutter lebenden Mann missbraucht (E. 2).</w:t>
      </w:r>
    </w:p>
    <w:p>
      <w:pPr>
        <w:pStyle w:val="Heading2"/>
      </w:pPr>
      <w:r>
        <w:t>Erwägungen</w:t>
      </w:r>
    </w:p>
    <w:p>
      <w:r>
        <w:rPr>
          <w:b/>
        </w:rPr>
        <w:t>E. 1</w:t>
      </w:r>
    </w:p>
    <w:p>
      <w:r>
        <w:t>(Recevabilité).</w:t>
      </w:r>
    </w:p>
    <w:p>
      <w:r>
        <w:rPr>
          <w:b/>
        </w:rPr>
        <w:t>E. 2</w:t>
      </w:r>
    </w:p>
    <w:p>
      <w:r>
        <w:t>a) Le recourant ne conteste pas s'être rendu coupable d'actes d'ordre sexuel avec un enfant, au sens de l' art. 187 ch. 1 CP . Si l'acte a été imposé à l'enfant par la contrainte, il a été admis que cette infraction pouvait être retenue concurremment avec le viol ( art. 190 CP ) et la contrainte sexuelle ( art. 189 CP ) ( ATF 119 IV 309 consid. 7a); le recourant ne remet pas en cause cette jurisprudence. Le viol et la contrainte sexuelle supposent l'emploi des mêmes moyens et la même situation de contrainte; le viol constitue une lex specialis pour le cas où la victime est une femme et qu'il lui est imposé l'acte sexuel proprement dit ( ATF 119 IV 309 consid. 7b). Selon les constatations cantonales - qui lient la Cour de cassation ( art. 277bis al. 1 PPF ) -, le recourant a accompli tantôt l'acte sexuel proprement dit, tantôt d'autres actes d'ordre sexuel, de sorte que les deux infractions, en concours réel, entrent en considération. Le recourant conteste avoir commis l'infraction de viol et de contrainte sexuelle, en soutenant qu'il n'a pas recouru à l'un des moyens de contrainte prévus par la loi, à savoir la menace, la violence, la pression d'ordre psychique ou la mise hors d'état de résister. BGE 122 IV 97 S. 100 b) Les art. 189 al. 1 et 190 al. 1 CP prévoient que l'auteur, "notamment en usant de menaces ou de violence envers une personne, en exerçant sur elle des pressions d'ordre psychique ou en la mettant hors d'état de résister", la contraint à subir l'acte. Ces dispositions tendent à protéger la libre détermination en matière sexuelle ( ATF 119 IV 309 consid. 7a), en réprimant de manière générale la contrainte dans ce domaine, ayant pour objet d'amener une personne, sans son consentement, à faire ou subir l'acte sexuel ou un autre acte d'ordre sexuel ( ATF 119 IV 309 consid. 7b). Pour qu'il y ait contrainte en matière sexuelle, il faut que la victime ne soit pas consentante, que l'auteur le sache ou accepte cette éventualité ( ATF 119 IV 309 consid. 7b),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(REHBERG/SCHMID, Strafrecht III, 6è édition, p. 378; STRATENWERTH, Bes. Teil I, 5è édition, p. 158 no 7). Par violence, il faut entendre, comme dans le cas du brigandage ( art. 140 ch. 1 al. 1 CP ), l'emploi volontaire de la force physique sur la personne de la victime, dans le but de la faire céder. Il n'est toutefois pas nécessaire que l'auteur recoure à la violence ou à la menace (FF 1985 II 1091);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(FF 1985 II 1087). A l'initiative du Conseil national, la liste des moyens a été complétée en ajoutant les pressions d'ordre psychique, pour inclure également les cas où la victime est mise hors d'état de résister par la surprise (BO 1990 CN 2302), la frayeur ou une situation sans espoir (PHILIPP MAIER, Die Nötigungsdelikte im neuen Sexualstrafrecht, thèse de Zurich 1994, p. 304 et les références citées). Egalement à l'initiative du Conseil national, l'adverbe "notamment" a été ajouté aussi bien à l'art. 189 al. 1 qu'à l' art. 190 al. 1 CP (MAIER, op.cit., p. 305 s. et les références citées). Contrairement à ce que pense BGE 122 IV 97 S. 101 le recourant, les moyens de contrainte ne sont donc pas énumérés de façon exhaustive par la loi; l'adjonction, par rapport au projet du Conseil fédéral, de l'adverbe "notamment" et de la notion de pression psychologique procède de la volonté d'englober toutes les hypothèses de contrainte, même celles auxquelles le législateur n'aurait pas songé (MAIER, op.cit., p. 303 ss). Il ne suffirait par conséquent pas que le recourant puisse démontrer qu'il n'a employé aucun des moyens cités expressément par les art. 189 al. 1 et 190 al. 1 CP. Il est vrai que le nouveau texte légal, en énumérant de façon non exhaustive des moyens de contrainte formulés en termes très généraux, comporte sous cet angle une certaine imprécision (dans ce sens: STRATENWERTH, op.cit., p. 158 ss no 6 ss); il pourra notamment s'avérer délicat de déterminer quelle intensité doit atteindre la pression psychique exercée sur la victime pour faire admettre que celle-ci a été contrainte, au sens des art. 189 al. 1 et 190 al. 1 CP, à subir les actes incriminés. La personnalité de la victime ne pourra notamment pas être ignorée dans ce contexte car on peut, par exemple, attendre d'un adulte en pleine possession de ses facultés de discernement une résistance à de telles pressions supérieure à celle que peut offrir un enfant. Il en résulte cependant que la victime doit être contrainte, ce qui présuppose un moyen efficace, autrement dit que la victime se trouve dans une situation telle qu'il soit possible d'accomplir l'acte sans tenir compte du refus; il suffit en définitive que, selon les circonstances concrètes, la soumission de la victime soit compréhensible (REHBERG/SCHMID, op.cit., p. 380).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119 IV 309 consid. 7b). Le nouveau droit n'exige plus que la victime soit mise totalement hors d'état de résister (REHBERG/SCHMID, op.cit., p. 378). c) En l'espèce, il faut tenir compte du jeune âge de la victime (surtout à l'époque des premiers actes) et du fait qu'elle est légèrement débile, ce qui la rendait particulièrement vulnérable et inapte à une défense efficace. Faisant ménage commun avec sa mère, le recourant se trouvait par rapport à la victime dans une position d'autorité. En raison de son caractère intransigeant, elle le redoutait. Si l'on considère la différence d'âge et de force physique, toute résistance pouvait raisonnablement lui paraître vaine. L'enfant vivait tout d'abord dans une institution, puis BGE 122 IV 97 S. 102 chez le recourant et sa mère; sa situation était donc précaire. Comme sa mère semblait attachée au recourant, la victime pouvait craindre, si elle appelait sa mère au secours - et le recourant l'avait menacée de désagréments si elle le faisait -, que celle-ci donne la préférence à son union conjugale, de sorte que la victime se serait sentie seule et rejetée par ceux qui lui étaient les plus proches. On comprend aisément, dans ces circonstances, qu'elle ait choisi de céder, sans que l'auteur ait eu à recourir à la violence ou à la menace. La victime était placée dans une situation telle qu'il n'était nul besoin de tels actes pour qu'elle soit hors d'état de résister (cf. ATF 119 IV 309 consid. 7b). Il a été constaté en fait - d'une manière qui lie la Cour de cassation ( art. 277bis al. 1 PPF ) - que la victime n'était pas consentante, au moins lors des premiers actes et des premiers rapports sexuels, qu'elle l'a fait savoir au recourant, en lui demandant de la laisser tranquille et de s'en aller et en le repoussant avec la main, que le recourant a passé outre à son refus, conscient de celui-ci et des circonstances qui mettaient la victime hors d'état de résister. Dans de telles circonstances, l'autorité cantonale n'a pas violé le droit fédéral en retenant que le recourant s'était rendu coupable de viol ( art. 190 al. 1 CP ) et de contrainte sexuelle ( art. 189 al. 1 CP ). Il est vrai qu'en raison de la facilité avec laquelle il a pu commettre les actes, la faute du recourant apparaît moins lourde que s'il avait recouru à la violence, mais l'autorité cantonale en a tenu compte, au stade de la détermination de la peine ( art. 63 CP ), en fixant une peine sensiblement moins élevée que celles qui sont habituellement infligées en cas de viols répétés commis avec violence.</w:t>
      </w:r>
    </w:p>
    <w:p>
      <w:r>
        <w:rPr>
          <w:b/>
        </w:rPr>
        <w:t>E. 3</w:t>
      </w:r>
    </w:p>
    <w:p>
      <w:r>
        <w:t>(Quotité de la peine).</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